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5357" w14:textId="634DD482" w:rsidR="001D6626" w:rsidRDefault="001D6626" w:rsidP="001D6626">
      <w:pPr>
        <w:rPr>
          <w:b/>
          <w:bCs/>
        </w:rPr>
      </w:pPr>
      <w:r w:rsidRPr="001D6626">
        <w:rPr>
          <w:b/>
          <w:bCs/>
        </w:rPr>
        <w:t>Per agevolare e standardizzare le procedure, suggeriamo che le scuole inseriscano all’interno della verbalizzazione i seguenti passaggi</w:t>
      </w:r>
      <w:r>
        <w:rPr>
          <w:b/>
          <w:bCs/>
        </w:rPr>
        <w:t>:</w:t>
      </w:r>
    </w:p>
    <w:p w14:paraId="582FA642" w14:textId="77777777" w:rsidR="001D6626" w:rsidRPr="001D6626" w:rsidRDefault="001D6626" w:rsidP="001D6626">
      <w:pPr>
        <w:rPr>
          <w:b/>
          <w:bCs/>
        </w:rPr>
      </w:pPr>
    </w:p>
    <w:p w14:paraId="295DFB03" w14:textId="3BDE77B6" w:rsidR="001D6626" w:rsidRDefault="001D6626" w:rsidP="001D6626">
      <w:r>
        <w:t>L’adesione impegna le scuole a:</w:t>
      </w:r>
    </w:p>
    <w:p w14:paraId="157363BB" w14:textId="76583580" w:rsidR="001D6626" w:rsidRDefault="001D6626" w:rsidP="001D6626">
      <w:pPr>
        <w:pStyle w:val="Paragrafoelenco"/>
        <w:numPr>
          <w:ilvl w:val="0"/>
          <w:numId w:val="1"/>
        </w:numPr>
      </w:pPr>
      <w:r>
        <w:t>stilare un PTOF orientato alla promozione della salute, in coerenza con quanto definito all’Art.1;</w:t>
      </w:r>
    </w:p>
    <w:p w14:paraId="06C5B4E9" w14:textId="5048F292" w:rsidR="001D6626" w:rsidRDefault="001D6626" w:rsidP="001D6626">
      <w:pPr>
        <w:pStyle w:val="Paragrafoelenco"/>
        <w:numPr>
          <w:ilvl w:val="0"/>
          <w:numId w:val="1"/>
        </w:numPr>
      </w:pPr>
      <w:r>
        <w:t>declinare il proprio “profilo di salute”, individuando priorità d’azione e pianificando il processo di miglioramento collegato al RAV con l’utilizzo degli strumenti predisposti dalla Rete;</w:t>
      </w:r>
    </w:p>
    <w:p w14:paraId="69B9F60E" w14:textId="1129F3F9" w:rsidR="001D6626" w:rsidRDefault="001D6626" w:rsidP="001D6626">
      <w:pPr>
        <w:pStyle w:val="Paragrafoelenco"/>
        <w:numPr>
          <w:ilvl w:val="0"/>
          <w:numId w:val="1"/>
        </w:numPr>
      </w:pPr>
      <w:r>
        <w:t>realizzare annualmente almeno due azioni/attività in relazione agli ambiti di intervento strategici definiti all’Art. 2, condivise dalla Rete sulla base della coerenza con criteri di Buona Pratica;</w:t>
      </w:r>
    </w:p>
    <w:p w14:paraId="72CE3ACC" w14:textId="4FF6E8EE" w:rsidR="001D6626" w:rsidRDefault="001D6626" w:rsidP="001D6626">
      <w:pPr>
        <w:pStyle w:val="Paragrafoelenco"/>
        <w:numPr>
          <w:ilvl w:val="0"/>
          <w:numId w:val="1"/>
        </w:numPr>
      </w:pPr>
      <w:r>
        <w:t>documentare annualmente le azioni/attività intraprese in relazione agli ambiti di intervento strategici definiti all’Art. 2 utilizzando gli strumenti predisposti dalla Rete.</w:t>
      </w:r>
    </w:p>
    <w:p w14:paraId="024981D2" w14:textId="2E65A56B" w:rsidR="001D6626" w:rsidRDefault="001D6626" w:rsidP="001D6626">
      <w:r>
        <w:t>I</w:t>
      </w:r>
      <w:r>
        <w:t>n ciascuna scuola aderente alla Rete deve essere individuato dal Dirigente Scolastico un Referente della Promozione della Salute ed un gruppo di lavoro interno, con i seguenti compiti:</w:t>
      </w:r>
    </w:p>
    <w:p w14:paraId="59060D8F" w14:textId="4FB836F9" w:rsidR="001D6626" w:rsidRDefault="001D6626" w:rsidP="001D6626">
      <w:pPr>
        <w:pStyle w:val="Paragrafoelenco"/>
        <w:numPr>
          <w:ilvl w:val="0"/>
          <w:numId w:val="2"/>
        </w:numPr>
      </w:pPr>
      <w:r>
        <w:t>promuovere la conoscenza del Modello di Scuole che Promuovono Salute e delle attività programmate all’interno del corpo docenti, presso le famiglie, presso i diversi soggetti della Comunità locale;</w:t>
      </w:r>
    </w:p>
    <w:p w14:paraId="58431099" w14:textId="507DF83D" w:rsidR="001D6626" w:rsidRDefault="001D6626" w:rsidP="001D6626">
      <w:pPr>
        <w:pStyle w:val="Paragrafoelenco"/>
        <w:numPr>
          <w:ilvl w:val="0"/>
          <w:numId w:val="2"/>
        </w:numPr>
      </w:pPr>
      <w:r>
        <w:t>favorire il coinvolgimento di tutta la comunità scolastica nella programmazione e realizzazione delle attività;</w:t>
      </w:r>
    </w:p>
    <w:p w14:paraId="1FE0B2C6" w14:textId="6F95BCFD" w:rsidR="001D6626" w:rsidRDefault="001D6626" w:rsidP="001D6626">
      <w:pPr>
        <w:pStyle w:val="Paragrafoelenco"/>
        <w:numPr>
          <w:ilvl w:val="0"/>
          <w:numId w:val="2"/>
        </w:numPr>
      </w:pPr>
      <w:r>
        <w:t>promuovere la cultura della salute nella scuola e nella comunità locale;</w:t>
      </w:r>
    </w:p>
    <w:p w14:paraId="0A370CB5" w14:textId="77F664DD" w:rsidR="001D6626" w:rsidRDefault="001D6626" w:rsidP="001D6626">
      <w:pPr>
        <w:pStyle w:val="Paragrafoelenco"/>
        <w:numPr>
          <w:ilvl w:val="0"/>
          <w:numId w:val="2"/>
        </w:numPr>
      </w:pPr>
      <w:r>
        <w:t>analizzare i bisogni della scuola sui temi di salute;</w:t>
      </w:r>
    </w:p>
    <w:p w14:paraId="7CEF26C2" w14:textId="04753B94" w:rsidR="001D6626" w:rsidRDefault="001D6626" w:rsidP="001D6626">
      <w:pPr>
        <w:pStyle w:val="Paragrafoelenco"/>
        <w:numPr>
          <w:ilvl w:val="0"/>
          <w:numId w:val="2"/>
        </w:numPr>
      </w:pPr>
      <w:r>
        <w:t>progettare e coordinare la realizzazione delle attività in relazione agli ambiti di intervento strategici e coerenti con criteri di Buona Pratica;</w:t>
      </w:r>
    </w:p>
    <w:p w14:paraId="7DAEEAB7" w14:textId="3318EAD9" w:rsidR="001D6626" w:rsidRDefault="001D6626" w:rsidP="001D6626">
      <w:pPr>
        <w:pStyle w:val="Paragrafoelenco"/>
        <w:numPr>
          <w:ilvl w:val="0"/>
          <w:numId w:val="2"/>
        </w:numPr>
      </w:pPr>
      <w:r>
        <w:t>tenere i rapporti con gli stakeholder e gli interlocutori esterni;</w:t>
      </w:r>
    </w:p>
    <w:p w14:paraId="3A6F73A1" w14:textId="2F1059B2" w:rsidR="001D6626" w:rsidRDefault="001D6626" w:rsidP="001D6626">
      <w:pPr>
        <w:pStyle w:val="Paragrafoelenco"/>
        <w:numPr>
          <w:ilvl w:val="0"/>
          <w:numId w:val="2"/>
        </w:numPr>
      </w:pPr>
      <w:r>
        <w:t>raccogliere i dati di verifica rispetto alle attività realizzate;</w:t>
      </w:r>
    </w:p>
    <w:p w14:paraId="60B3B8C9" w14:textId="3FEAD594" w:rsidR="001D6626" w:rsidRDefault="001D6626" w:rsidP="001D6626">
      <w:pPr>
        <w:pStyle w:val="Paragrafoelenco"/>
        <w:numPr>
          <w:ilvl w:val="0"/>
          <w:numId w:val="2"/>
        </w:numPr>
      </w:pPr>
      <w:r>
        <w:t>documentare annualmente le azioni/attività intraprese utilizzando gli strumenti predisposti dalla Rete.</w:t>
      </w:r>
    </w:p>
    <w:p w14:paraId="69C4D3EE" w14:textId="77777777" w:rsidR="001D6626" w:rsidRDefault="001D6626" w:rsidP="001D6626"/>
    <w:p w14:paraId="50C3E2C5" w14:textId="77777777" w:rsidR="00BC47C1" w:rsidRDefault="00BC47C1"/>
    <w:sectPr w:rsidR="00BC47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A48D0"/>
    <w:multiLevelType w:val="hybridMultilevel"/>
    <w:tmpl w:val="1BC224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616E7"/>
    <w:multiLevelType w:val="hybridMultilevel"/>
    <w:tmpl w:val="A48AB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82068">
    <w:abstractNumId w:val="1"/>
  </w:num>
  <w:num w:numId="2" w16cid:durableId="212483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26"/>
    <w:rsid w:val="001D6626"/>
    <w:rsid w:val="00414F09"/>
    <w:rsid w:val="00876F28"/>
    <w:rsid w:val="0095042A"/>
    <w:rsid w:val="00A249DE"/>
    <w:rsid w:val="00AC5812"/>
    <w:rsid w:val="00BC47C1"/>
    <w:rsid w:val="00FA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A2E7"/>
  <w15:chartTrackingRefBased/>
  <w15:docId w15:val="{FD5E7130-AA1F-4683-B2C0-6083EA93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626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C5812"/>
    <w:pPr>
      <w:keepNext/>
      <w:keepLines/>
      <w:spacing w:before="240" w:after="0" w:line="279" w:lineRule="auto"/>
      <w:outlineLvl w:val="0"/>
    </w:pPr>
    <w:rPr>
      <w:rFonts w:asciiTheme="majorHAnsi" w:eastAsiaTheme="majorEastAsia" w:hAnsiTheme="majorHAnsi" w:cstheme="majorBidi"/>
      <w:color w:val="005D89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5812"/>
    <w:pPr>
      <w:keepNext/>
      <w:keepLines/>
      <w:spacing w:before="40" w:after="0" w:line="279" w:lineRule="auto"/>
      <w:outlineLvl w:val="1"/>
    </w:pPr>
    <w:rPr>
      <w:rFonts w:asciiTheme="majorHAnsi" w:eastAsiaTheme="majorEastAsia" w:hAnsiTheme="majorHAnsi" w:cstheme="majorBidi"/>
      <w:color w:val="005D89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5812"/>
    <w:pPr>
      <w:keepNext/>
      <w:keepLines/>
      <w:spacing w:before="40" w:after="0" w:line="279" w:lineRule="auto"/>
      <w:outlineLvl w:val="2"/>
    </w:pPr>
    <w:rPr>
      <w:rFonts w:asciiTheme="majorHAnsi" w:eastAsiaTheme="majorEastAsia" w:hAnsiTheme="majorHAnsi" w:cstheme="majorBidi"/>
      <w:color w:val="003D5B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5812"/>
    <w:pPr>
      <w:keepNext/>
      <w:keepLines/>
      <w:spacing w:before="40" w:after="0" w:line="279" w:lineRule="auto"/>
      <w:outlineLvl w:val="3"/>
    </w:pPr>
    <w:rPr>
      <w:rFonts w:asciiTheme="majorHAnsi" w:eastAsiaTheme="majorEastAsia" w:hAnsiTheme="majorHAnsi" w:cstheme="majorBidi"/>
      <w:i/>
      <w:iCs/>
      <w:color w:val="005D89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5812"/>
    <w:pPr>
      <w:keepNext/>
      <w:keepLines/>
      <w:spacing w:before="40" w:after="0" w:line="279" w:lineRule="auto"/>
      <w:outlineLvl w:val="4"/>
    </w:pPr>
    <w:rPr>
      <w:rFonts w:asciiTheme="majorHAnsi" w:eastAsiaTheme="majorEastAsia" w:hAnsiTheme="majorHAnsi" w:cstheme="majorBidi"/>
      <w:color w:val="005D89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5812"/>
    <w:pPr>
      <w:keepNext/>
      <w:keepLines/>
      <w:spacing w:before="40" w:after="0" w:line="279" w:lineRule="auto"/>
      <w:outlineLvl w:val="5"/>
    </w:pPr>
    <w:rPr>
      <w:rFonts w:asciiTheme="majorHAnsi" w:eastAsiaTheme="majorEastAsia" w:hAnsiTheme="majorHAnsi" w:cstheme="majorBidi"/>
      <w:color w:val="003D5B" w:themeColor="accent1" w:themeShade="7F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5812"/>
    <w:pPr>
      <w:keepNext/>
      <w:keepLines/>
      <w:spacing w:before="40" w:after="0" w:line="279" w:lineRule="auto"/>
      <w:outlineLvl w:val="6"/>
    </w:pPr>
    <w:rPr>
      <w:rFonts w:asciiTheme="majorHAnsi" w:eastAsiaTheme="majorEastAsia" w:hAnsiTheme="majorHAnsi" w:cstheme="majorBidi"/>
      <w:i/>
      <w:iCs/>
      <w:color w:val="003D5B" w:themeColor="accent1" w:themeShade="7F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5812"/>
    <w:pPr>
      <w:keepNext/>
      <w:keepLines/>
      <w:spacing w:before="40" w:after="0" w:line="27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5812"/>
    <w:pPr>
      <w:keepNext/>
      <w:keepLines/>
      <w:spacing w:before="40" w:after="0" w:line="27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5812"/>
    <w:rPr>
      <w:rFonts w:asciiTheme="majorHAnsi" w:eastAsiaTheme="majorEastAsia" w:hAnsiTheme="majorHAnsi" w:cstheme="majorBidi"/>
      <w:color w:val="005D89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5812"/>
    <w:rPr>
      <w:rFonts w:asciiTheme="majorHAnsi" w:eastAsiaTheme="majorEastAsia" w:hAnsiTheme="majorHAnsi" w:cstheme="majorBidi"/>
      <w:color w:val="005D89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5812"/>
    <w:rPr>
      <w:rFonts w:asciiTheme="majorHAnsi" w:eastAsiaTheme="majorEastAsia" w:hAnsiTheme="majorHAnsi" w:cstheme="majorBidi"/>
      <w:color w:val="003D5B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5812"/>
    <w:rPr>
      <w:rFonts w:asciiTheme="majorHAnsi" w:eastAsiaTheme="majorEastAsia" w:hAnsiTheme="majorHAnsi" w:cstheme="majorBidi"/>
      <w:i/>
      <w:iCs/>
      <w:color w:val="005D89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5812"/>
    <w:rPr>
      <w:rFonts w:asciiTheme="majorHAnsi" w:eastAsiaTheme="majorEastAsia" w:hAnsiTheme="majorHAnsi" w:cstheme="majorBidi"/>
      <w:color w:val="005D89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5812"/>
    <w:rPr>
      <w:rFonts w:asciiTheme="majorHAnsi" w:eastAsiaTheme="majorEastAsia" w:hAnsiTheme="majorHAnsi" w:cstheme="majorBidi"/>
      <w:color w:val="003D5B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5812"/>
    <w:rPr>
      <w:rFonts w:asciiTheme="majorHAnsi" w:eastAsiaTheme="majorEastAsia" w:hAnsiTheme="majorHAnsi" w:cstheme="majorBidi"/>
      <w:i/>
      <w:iCs/>
      <w:color w:val="003D5B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58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58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58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5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5812"/>
    <w:pPr>
      <w:numPr>
        <w:ilvl w:val="1"/>
      </w:numPr>
      <w:spacing w:line="27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5812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76F28"/>
    <w:pPr>
      <w:spacing w:after="120" w:line="240" w:lineRule="auto"/>
      <w:ind w:left="720"/>
      <w:contextualSpacing/>
      <w:jc w:val="both"/>
    </w:pPr>
    <w:rPr>
      <w:rFonts w:ascii="Calibri Light" w:eastAsiaTheme="minorEastAsia" w:hAnsi="Calibri Light"/>
      <w:lang w:eastAsia="zh-CN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5812"/>
    <w:pPr>
      <w:spacing w:before="200" w:line="279" w:lineRule="auto"/>
      <w:ind w:left="864" w:right="864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5812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5812"/>
    <w:pPr>
      <w:pBdr>
        <w:top w:val="single" w:sz="4" w:space="10" w:color="007DB8" w:themeColor="accent1"/>
        <w:bottom w:val="single" w:sz="4" w:space="10" w:color="007DB8" w:themeColor="accent1"/>
      </w:pBdr>
      <w:spacing w:before="360" w:after="360" w:line="279" w:lineRule="auto"/>
      <w:ind w:left="864" w:right="864"/>
      <w:jc w:val="center"/>
    </w:pPr>
    <w:rPr>
      <w:i/>
      <w:iCs/>
      <w:color w:val="007DB8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5812"/>
    <w:rPr>
      <w:i/>
      <w:iCs/>
      <w:color w:val="007DB8" w:themeColor="accent1"/>
    </w:rPr>
  </w:style>
  <w:style w:type="character" w:styleId="Enfasiintensa">
    <w:name w:val="Intense Emphasis"/>
    <w:basedOn w:val="Carpredefinitoparagrafo"/>
    <w:uiPriority w:val="21"/>
    <w:qFormat/>
    <w:rsid w:val="00AC5812"/>
    <w:rPr>
      <w:i/>
      <w:iCs/>
      <w:color w:val="007DB8" w:themeColor="accent1"/>
    </w:rPr>
  </w:style>
  <w:style w:type="character" w:styleId="Riferimentointenso">
    <w:name w:val="Intense Reference"/>
    <w:basedOn w:val="Carpredefinitoparagrafo"/>
    <w:uiPriority w:val="32"/>
    <w:qFormat/>
    <w:rsid w:val="00AC5812"/>
    <w:rPr>
      <w:b/>
      <w:bCs/>
      <w:smallCaps/>
      <w:color w:val="007DB8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revenzione Pugli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DB8"/>
      </a:accent1>
      <a:accent2>
        <a:srgbClr val="028500"/>
      </a:accent2>
      <a:accent3>
        <a:srgbClr val="CC4700"/>
      </a:accent3>
      <a:accent4>
        <a:srgbClr val="C814C1"/>
      </a:accent4>
      <a:accent5>
        <a:srgbClr val="E21D3B"/>
      </a:accent5>
      <a:accent6>
        <a:srgbClr val="5651BC"/>
      </a:accent6>
      <a:hlink>
        <a:srgbClr val="0563C1"/>
      </a:hlink>
      <a:folHlink>
        <a:srgbClr val="00B0F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1572</Characters>
  <Application>Microsoft Office Word</Application>
  <DocSecurity>0</DocSecurity>
  <Lines>27</Lines>
  <Paragraphs>7</Paragraphs>
  <ScaleCrop>false</ScaleCrop>
  <Company>INDRA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Eboli, Daniele</dc:creator>
  <cp:keywords/>
  <dc:description/>
  <cp:lastModifiedBy>Eboli, Daniele</cp:lastModifiedBy>
  <cp:revision>1</cp:revision>
  <dcterms:created xsi:type="dcterms:W3CDTF">2025-08-04T12:48:00Z</dcterms:created>
  <dcterms:modified xsi:type="dcterms:W3CDTF">2025-08-04T12:51:00Z</dcterms:modified>
</cp:coreProperties>
</file>